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627D75" w:rsidRPr="007E6FEB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7E6FEB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FEB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C0325" w:rsidRDefault="008C0325" w:rsidP="008C0325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C0325" w:rsidRPr="008C0325" w:rsidRDefault="008C0325" w:rsidP="008C0325">
      <w:pPr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b/>
          <w:sz w:val="20"/>
          <w:szCs w:val="20"/>
          <w:u w:val="single"/>
        </w:rPr>
        <w:t>„II/354 Nové Město na Moravě – most ev. č. 354-017“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8C0325" w:rsidRPr="008C0325" w:rsidRDefault="008C0325" w:rsidP="008C032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C0325">
        <w:rPr>
          <w:rFonts w:ascii="Arial" w:hAnsi="Arial" w:cs="Arial"/>
          <w:bCs/>
          <w:sz w:val="20"/>
          <w:szCs w:val="20"/>
        </w:rPr>
        <w:t xml:space="preserve">Geodetické zaměření předmětného území (výškopisné a polohopisné zaměření) v potřebném rozsahu rekonstrukce mostu </w:t>
      </w:r>
    </w:p>
    <w:p w:rsidR="008C0325" w:rsidRPr="008C0325" w:rsidRDefault="008C0325" w:rsidP="008C032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C0325">
        <w:rPr>
          <w:rFonts w:ascii="Arial" w:hAnsi="Arial" w:cs="Arial"/>
          <w:bCs/>
          <w:sz w:val="20"/>
          <w:szCs w:val="20"/>
        </w:rPr>
        <w:t xml:space="preserve">Vypracování inženýrsko-geologického průzkumu mostu včetně návrhu technického řešení </w:t>
      </w:r>
    </w:p>
    <w:p w:rsidR="008C0325" w:rsidRPr="008C0325" w:rsidRDefault="008C0325" w:rsidP="008C032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C0325">
        <w:rPr>
          <w:rFonts w:ascii="Arial" w:hAnsi="Arial" w:cs="Arial"/>
          <w:bCs/>
          <w:sz w:val="20"/>
          <w:szCs w:val="20"/>
        </w:rPr>
        <w:t>Vypracování projektové dokumentace ve stupni pro vydání společného územního a stavebního povolení (DPS)</w:t>
      </w:r>
    </w:p>
    <w:p w:rsidR="008C0325" w:rsidRPr="008C0325" w:rsidRDefault="008C0325" w:rsidP="008C032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C0325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stavebního povolení k příslušnému stavebnímu úřadu</w:t>
      </w:r>
    </w:p>
    <w:p w:rsidR="008C0325" w:rsidRPr="008C0325" w:rsidRDefault="008C0325" w:rsidP="008C032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C0325">
        <w:rPr>
          <w:rFonts w:ascii="Arial" w:hAnsi="Arial" w:cs="Arial"/>
          <w:bCs/>
          <w:sz w:val="20"/>
          <w:szCs w:val="20"/>
        </w:rPr>
        <w:t>Zajištění povolení stavby (PS)</w:t>
      </w:r>
    </w:p>
    <w:p w:rsidR="008C0325" w:rsidRPr="008C0325" w:rsidRDefault="008C0325" w:rsidP="008C032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C0325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8C0325" w:rsidRPr="008C0325" w:rsidRDefault="008C0325" w:rsidP="008C0325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C0325">
        <w:rPr>
          <w:rFonts w:ascii="Arial" w:hAnsi="Arial" w:cs="Arial"/>
          <w:bCs/>
          <w:sz w:val="20"/>
          <w:szCs w:val="20"/>
        </w:rPr>
        <w:t>Výkon autorského dozoru při realizaci stavby</w:t>
      </w:r>
    </w:p>
    <w:p w:rsidR="008C0325" w:rsidRPr="008C0325" w:rsidRDefault="008C0325" w:rsidP="008C0325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8C0325" w:rsidRPr="008C0325" w:rsidRDefault="008C0325" w:rsidP="008C0325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Předmětem projekčních prací je projektová dokumentace nového mostu a nezbytné úpravy vozovky silnice II/354 v </w:t>
      </w:r>
      <w:proofErr w:type="spellStart"/>
      <w:r w:rsidRPr="008C0325">
        <w:rPr>
          <w:rFonts w:ascii="Arial" w:hAnsi="Arial" w:cs="Arial"/>
          <w:sz w:val="20"/>
          <w:szCs w:val="20"/>
        </w:rPr>
        <w:t>intravilánu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Nového Města na M</w:t>
      </w:r>
      <w:r w:rsidR="004B6CFA">
        <w:rPr>
          <w:rFonts w:ascii="Arial" w:hAnsi="Arial" w:cs="Arial"/>
          <w:sz w:val="20"/>
          <w:szCs w:val="20"/>
        </w:rPr>
        <w:t>oravě, okres Žďár nad Sázavou, K</w:t>
      </w:r>
      <w:bookmarkStart w:id="0" w:name="_GoBack"/>
      <w:bookmarkEnd w:id="0"/>
      <w:r w:rsidRPr="008C0325">
        <w:rPr>
          <w:rFonts w:ascii="Arial" w:hAnsi="Arial" w:cs="Arial"/>
          <w:sz w:val="20"/>
          <w:szCs w:val="20"/>
        </w:rPr>
        <w:t>raj Vysočina.</w:t>
      </w: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 Stávající most ev. č. 354-017 se nachází v km 37,010 provozního staničení a převádí silnici II/354 přes říčku Bobrůvku. Most je </w:t>
      </w:r>
      <w:proofErr w:type="spellStart"/>
      <w:r w:rsidRPr="008C0325">
        <w:rPr>
          <w:rFonts w:ascii="Arial" w:hAnsi="Arial" w:cs="Arial"/>
          <w:sz w:val="20"/>
          <w:szCs w:val="20"/>
        </w:rPr>
        <w:t>jednopolový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. </w:t>
      </w: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Základy mostu jsou nepřístupné, pravděpodobně plošné. Bez provedení IGP nelze způsob založení mostu zjistit.</w:t>
      </w: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Mostní opěry a křídla jsou zděné z řádkového kamene, mostní křídla jsou rovnoběžná. Úložné prahy na opěrách jsou ŽB, výšky 0,3 m. Na obou opěrách je patrný průsak mostním závěrem, průsaky ve </w:t>
      </w:r>
      <w:proofErr w:type="spellStart"/>
      <w:r w:rsidRPr="008C0325">
        <w:rPr>
          <w:rFonts w:ascii="Arial" w:hAnsi="Arial" w:cs="Arial"/>
          <w:sz w:val="20"/>
          <w:szCs w:val="20"/>
        </w:rPr>
        <w:t>sparách</w:t>
      </w:r>
      <w:proofErr w:type="spellEnd"/>
      <w:r w:rsidRPr="008C0325">
        <w:rPr>
          <w:rFonts w:ascii="Arial" w:hAnsi="Arial" w:cs="Arial"/>
          <w:sz w:val="20"/>
          <w:szCs w:val="20"/>
        </w:rPr>
        <w:t>. Pravé křídlo OP2 je v úrovni nad terénem zcela rozpadlé.</w:t>
      </w: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Nosná konstrukce je sestavena z 8 ks prefabrikovaných nosníků ŽMP-62. Na podhledu nosné konstrukce jsou viditelné stopy promáčení, výluhy a výkvěty. Na spodním povrchu nosné konstrukce jsou odpadlé krycí vrstvy betonu s obnaženou a korodující ocelovou výztuží. Nad opěrou 2 na povodní straně se na čele NK vyskytuje svislá trhlina přes celou výšku nosníku. </w:t>
      </w: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Vozovka na mostě je silně převrstvena. Na obou stranách mají betonové mostní římsy olámané hrany s uchycenými mechy. Zábradlí nevyhovuje z hlediska výšky.</w:t>
      </w: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Na </w:t>
      </w:r>
      <w:proofErr w:type="gramStart"/>
      <w:r w:rsidRPr="008C0325">
        <w:rPr>
          <w:rFonts w:ascii="Arial" w:hAnsi="Arial" w:cs="Arial"/>
          <w:sz w:val="20"/>
          <w:szCs w:val="20"/>
        </w:rPr>
        <w:t>povodní</w:t>
      </w:r>
      <w:proofErr w:type="gramEnd"/>
      <w:r w:rsidRPr="008C0325">
        <w:rPr>
          <w:rFonts w:ascii="Arial" w:hAnsi="Arial" w:cs="Arial"/>
          <w:sz w:val="20"/>
          <w:szCs w:val="20"/>
        </w:rPr>
        <w:t xml:space="preserve"> straně mostu podél římsy je umístěna ocelová chránička 100 mm, která zasahuje do průtočného profilu a je poškozená. V levé římse sdělovací kabel. El. </w:t>
      </w:r>
      <w:proofErr w:type="gramStart"/>
      <w:r w:rsidRPr="008C0325">
        <w:rPr>
          <w:rFonts w:ascii="Arial" w:hAnsi="Arial" w:cs="Arial"/>
          <w:sz w:val="20"/>
          <w:szCs w:val="20"/>
        </w:rPr>
        <w:t>zařízení</w:t>
      </w:r>
      <w:proofErr w:type="gramEnd"/>
      <w:r w:rsidRPr="008C0325">
        <w:rPr>
          <w:rFonts w:ascii="Arial" w:hAnsi="Arial" w:cs="Arial"/>
          <w:sz w:val="20"/>
          <w:szCs w:val="20"/>
        </w:rPr>
        <w:t xml:space="preserve"> na měření hladiny vody na L zábradlí. Limnigrafická lať u OP2 - LS - POS.</w:t>
      </w: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Investor na základě velmi špatného stavu mostu a také z příčin změny nivelety a rozšíření nosné konstrukce se rozhodl, že nebude provádět diagnosti</w:t>
      </w:r>
      <w:r>
        <w:rPr>
          <w:rFonts w:ascii="Arial" w:hAnsi="Arial" w:cs="Arial"/>
          <w:sz w:val="20"/>
          <w:szCs w:val="20"/>
        </w:rPr>
        <w:t>c</w:t>
      </w:r>
      <w:r w:rsidRPr="008C0325">
        <w:rPr>
          <w:rFonts w:ascii="Arial" w:hAnsi="Arial" w:cs="Arial"/>
          <w:sz w:val="20"/>
          <w:szCs w:val="20"/>
        </w:rPr>
        <w:t>ký průzkum mostu a rozhodl se rovnou pro variantu nového mostu. Je tu i pravděpodobnost požadavku ze strany města rozšíření jednostranným chodníkem.</w:t>
      </w: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Stav spodní stavby mostu se jeví jako </w:t>
      </w:r>
      <w:r w:rsidRPr="008C0325">
        <w:rPr>
          <w:rFonts w:ascii="Arial" w:hAnsi="Arial" w:cs="Arial"/>
          <w:b/>
          <w:sz w:val="20"/>
          <w:szCs w:val="20"/>
        </w:rPr>
        <w:t>uspokojivý – stupeň IV.</w:t>
      </w: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Stav nosné konstrukce mostu je </w:t>
      </w:r>
      <w:r w:rsidRPr="008C0325">
        <w:rPr>
          <w:rFonts w:ascii="Arial" w:hAnsi="Arial" w:cs="Arial"/>
          <w:b/>
          <w:sz w:val="20"/>
          <w:szCs w:val="20"/>
        </w:rPr>
        <w:t>špatný – stupeň V.</w:t>
      </w: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Zadavatel předpokládá, že stavební realizace bude probíhat za uzavřeného silničního provozu. Předpokládaná doba realizace stavebních prací – rok 2026 (rok 2027).</w:t>
      </w: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PD bude řešena jako stavební objekt – </w:t>
      </w:r>
      <w:r w:rsidRPr="008C0325">
        <w:rPr>
          <w:rFonts w:ascii="Arial" w:hAnsi="Arial" w:cs="Arial"/>
          <w:i/>
          <w:sz w:val="20"/>
          <w:szCs w:val="20"/>
        </w:rPr>
        <w:t xml:space="preserve">„II/354 Nové Město na Moravě - most ev. č. 354-017“. </w:t>
      </w:r>
      <w:r w:rsidRPr="008C0325">
        <w:rPr>
          <w:rFonts w:ascii="Arial" w:hAnsi="Arial" w:cs="Arial"/>
          <w:sz w:val="20"/>
          <w:szCs w:val="20"/>
        </w:rPr>
        <w:t xml:space="preserve">Plánovaný objekt se bude týkat pozemků </w:t>
      </w:r>
      <w:proofErr w:type="spellStart"/>
      <w:r w:rsidRPr="008C0325">
        <w:rPr>
          <w:rFonts w:ascii="Arial" w:hAnsi="Arial" w:cs="Arial"/>
          <w:sz w:val="20"/>
          <w:szCs w:val="20"/>
        </w:rPr>
        <w:t>parc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. č. 2735/8 – vlastník Kraj Vysočina, </w:t>
      </w:r>
      <w:proofErr w:type="spellStart"/>
      <w:r w:rsidRPr="008C0325">
        <w:rPr>
          <w:rFonts w:ascii="Arial" w:hAnsi="Arial" w:cs="Arial"/>
          <w:sz w:val="20"/>
          <w:szCs w:val="20"/>
        </w:rPr>
        <w:t>parc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. č. 3780/1 a 3780/18 - vlastník </w:t>
      </w:r>
      <w:r w:rsidRPr="008C0325">
        <w:rPr>
          <w:rFonts w:ascii="Arial" w:hAnsi="Arial" w:cs="Arial"/>
          <w:sz w:val="20"/>
          <w:szCs w:val="20"/>
        </w:rPr>
        <w:lastRenderedPageBreak/>
        <w:t xml:space="preserve">město NMNM, </w:t>
      </w:r>
      <w:proofErr w:type="spellStart"/>
      <w:r w:rsidRPr="008C0325">
        <w:rPr>
          <w:rFonts w:ascii="Arial" w:hAnsi="Arial" w:cs="Arial"/>
          <w:sz w:val="20"/>
          <w:szCs w:val="20"/>
        </w:rPr>
        <w:t>parc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. č. 3774/1 a 3772/3 - vlastník </w:t>
      </w:r>
      <w:proofErr w:type="spellStart"/>
      <w:r w:rsidRPr="008C0325">
        <w:rPr>
          <w:rFonts w:ascii="Arial" w:hAnsi="Arial" w:cs="Arial"/>
          <w:sz w:val="20"/>
          <w:szCs w:val="20"/>
        </w:rPr>
        <w:t>E.mont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s.r.o., </w:t>
      </w:r>
      <w:proofErr w:type="spellStart"/>
      <w:r w:rsidRPr="008C0325">
        <w:rPr>
          <w:rFonts w:ascii="Arial" w:hAnsi="Arial" w:cs="Arial"/>
          <w:sz w:val="20"/>
          <w:szCs w:val="20"/>
        </w:rPr>
        <w:t>parc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. č. 2735/16 a 3789/7 - vlastník město NMNM, </w:t>
      </w:r>
      <w:proofErr w:type="spellStart"/>
      <w:r w:rsidRPr="008C0325">
        <w:rPr>
          <w:rFonts w:ascii="Arial" w:hAnsi="Arial" w:cs="Arial"/>
          <w:sz w:val="20"/>
          <w:szCs w:val="20"/>
        </w:rPr>
        <w:t>parc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. č. 3937/4, 3937/7 a 3788/12 - vlastník město NMNM, 3788/9 a 3788/2 - vlastník SPÚ ČR, </w:t>
      </w:r>
      <w:proofErr w:type="spellStart"/>
      <w:r w:rsidRPr="008C0325">
        <w:rPr>
          <w:rFonts w:ascii="Arial" w:hAnsi="Arial" w:cs="Arial"/>
          <w:sz w:val="20"/>
          <w:szCs w:val="20"/>
        </w:rPr>
        <w:t>parc.č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. 3937/25 - </w:t>
      </w:r>
      <w:proofErr w:type="spellStart"/>
      <w:r w:rsidRPr="008C0325">
        <w:rPr>
          <w:rFonts w:ascii="Arial" w:hAnsi="Arial" w:cs="Arial"/>
          <w:sz w:val="20"/>
          <w:szCs w:val="20"/>
        </w:rPr>
        <w:t>soukr.vlastník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C0325">
        <w:rPr>
          <w:rFonts w:ascii="Arial" w:hAnsi="Arial" w:cs="Arial"/>
          <w:sz w:val="20"/>
          <w:szCs w:val="20"/>
        </w:rPr>
        <w:t>parc</w:t>
      </w:r>
      <w:proofErr w:type="spellEnd"/>
      <w:r w:rsidRPr="008C0325">
        <w:rPr>
          <w:rFonts w:ascii="Arial" w:hAnsi="Arial" w:cs="Arial"/>
          <w:sz w:val="20"/>
          <w:szCs w:val="20"/>
        </w:rPr>
        <w:t>. č. 3937/20 - vlastník město NMNM vše v </w:t>
      </w:r>
      <w:proofErr w:type="spellStart"/>
      <w:proofErr w:type="gramStart"/>
      <w:r w:rsidRPr="008C0325">
        <w:rPr>
          <w:rFonts w:ascii="Arial" w:hAnsi="Arial" w:cs="Arial"/>
          <w:sz w:val="20"/>
          <w:szCs w:val="20"/>
        </w:rPr>
        <w:t>k.ú</w:t>
      </w:r>
      <w:proofErr w:type="spellEnd"/>
      <w:r w:rsidRPr="008C0325">
        <w:rPr>
          <w:rFonts w:ascii="Arial" w:hAnsi="Arial" w:cs="Arial"/>
          <w:sz w:val="20"/>
          <w:szCs w:val="20"/>
        </w:rPr>
        <w:t>.</w:t>
      </w:r>
      <w:proofErr w:type="gramEnd"/>
      <w:r w:rsidRPr="008C0325">
        <w:rPr>
          <w:rFonts w:ascii="Arial" w:hAnsi="Arial" w:cs="Arial"/>
          <w:sz w:val="20"/>
          <w:szCs w:val="20"/>
        </w:rPr>
        <w:t xml:space="preserve"> Nové Město na Moravě </w:t>
      </w:r>
    </w:p>
    <w:p w:rsidR="008C0325" w:rsidRPr="008C0325" w:rsidRDefault="008C0325" w:rsidP="008C0325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Projektové dokumentace v jednotlivých stupních budou vypracovány v rozsahu daném platnými předpisy v době zpracování a předání dokončeného předmětu plnění.</w:t>
      </w:r>
    </w:p>
    <w:p w:rsidR="008C0325" w:rsidRPr="008C0325" w:rsidRDefault="008C0325" w:rsidP="008C0325">
      <w:pPr>
        <w:rPr>
          <w:rFonts w:ascii="Arial" w:hAnsi="Arial" w:cs="Arial"/>
          <w:b/>
          <w:sz w:val="20"/>
          <w:szCs w:val="20"/>
          <w:u w:val="single"/>
        </w:rPr>
      </w:pPr>
    </w:p>
    <w:p w:rsidR="008C0325" w:rsidRPr="008C0325" w:rsidRDefault="008C0325" w:rsidP="008C0325">
      <w:pPr>
        <w:rPr>
          <w:rFonts w:ascii="Arial" w:hAnsi="Arial" w:cs="Arial"/>
          <w:b/>
          <w:sz w:val="20"/>
          <w:szCs w:val="20"/>
          <w:u w:val="single"/>
        </w:rPr>
      </w:pPr>
      <w:r w:rsidRPr="008C0325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C0325">
        <w:rPr>
          <w:rFonts w:ascii="Arial" w:hAnsi="Arial" w:cs="Arial"/>
          <w:b/>
          <w:sz w:val="20"/>
          <w:szCs w:val="20"/>
        </w:rPr>
        <w:t>Vypracování dokumentace pro povolení stavby</w:t>
      </w: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liniových staveb a silničního správního úřadu, č. j. MD-23142/2022-930/2, ze dne 12. 7. 2022, s účinností od 1. 8. 2022, Zákonem č. 283/2021 Sb. - Stavební zákon nahrazeno, Zákonem č. 284/2021 Sb. - Zákon, kterým se mění některé zákony v souvislosti s přijetím stavebního zákona, Zákonem č. 195/2022 Sb. - Zákon, kterým se mění zákon č. 283/2021 Sb., stavební zákon,  Zákonem č. 152/2023 Sb. - Zákon, kterým se mění zákon č. 283/2021 Sb., stavební zákon, ve znění zákona č. 195/2022 Sb., a některé další související zákony. </w:t>
      </w:r>
      <w:r w:rsidRPr="008C0325">
        <w:rPr>
          <w:rFonts w:ascii="Arial" w:eastAsia="Times New Roman" w:hAnsi="Arial" w:cs="Arial"/>
          <w:sz w:val="20"/>
          <w:szCs w:val="20"/>
          <w:lang w:eastAsia="cs-CZ"/>
        </w:rPr>
        <w:t xml:space="preserve">Novou vyhláškou č. 227/2024 Sb. - o rozsahu a obsahu projektové dokumentace staveb dopravní infrastruktury. </w:t>
      </w:r>
      <w:r w:rsidRPr="008C0325">
        <w:rPr>
          <w:rFonts w:ascii="Arial" w:hAnsi="Arial" w:cs="Arial"/>
          <w:sz w:val="20"/>
          <w:szCs w:val="20"/>
        </w:rPr>
        <w:t>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</w:t>
      </w:r>
      <w:r>
        <w:rPr>
          <w:rFonts w:ascii="Arial" w:hAnsi="Arial" w:cs="Arial"/>
          <w:sz w:val="20"/>
          <w:szCs w:val="20"/>
        </w:rPr>
        <w:t>kací z 12/2023 a bude obsahovat</w:t>
      </w:r>
      <w:r w:rsidRPr="008C0325">
        <w:rPr>
          <w:rFonts w:ascii="Arial" w:hAnsi="Arial" w:cs="Arial"/>
          <w:sz w:val="20"/>
          <w:szCs w:val="20"/>
        </w:rPr>
        <w:t>: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Vlastní návrh technického řešení rekonstrukce mostu bude proveden na základě IGP. Návrh bude projednaný na vstupním výrobním výboru. Součástí dokumentace bude řešení případných přeložek inženýrských sítí a úprava konstrukce silnice v daném rozsahu.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Geodetické zaměření předmětného území (výškopisné a polohopisné zaměření) v potřebném rozsahu rekonstrukce mostu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Podrobný inženýrskogeologický, geotechnický a hydrogeologický průzkum daného území (pokud bude pro zpracování PD a vydání příslušných stanovisek a povolení nutné)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Zákres stavby do aktuální katastrální mapy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Vytyčovací výkres stavby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Situace v měřítku min. 1:500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Zásady organizace výstavby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-      Definitivní dopravní značení včetně příslušných projednání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Statický výpočet, hydrotechnický výpočet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Návrh kácení stromů včetně vyznačení v situaci, dendrologický průzkum (pokud bude pro zpracování PD a vydání příslušných stanovisek a povolení nutné), zajištění povolení ke kácení stromů je věcí zadavatele. V případě, že příslušný správní orgán povolí kácení dřevin dle PD, je nutné zjistit, zda se v dutinách stromů nenachází zvláště chráněné druhy živočichů – zejména netopýři, sovy či dřevokazní brouci (v tomto případě bude nutno zhotovitelem PD zažádat o výjimku z ochrany zvláště chráněných druhů na odboru životního prostředí Krajského úřadu Kraje Vysočina).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Záborový elaborát s tabulkou dotčených pozemků pro dočasný a trvalý zábor a zákres do katastrální mapy včetně sousedních pozemků.</w:t>
      </w:r>
    </w:p>
    <w:p w:rsidR="008C0325" w:rsidRPr="008C0325" w:rsidRDefault="008C0325" w:rsidP="008C0325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Zajištění souhlasu s vynětím pozemků trvale dotčených stavbou silnice ze ZPF a PUPFL včetně zpracování Pedologického průzkumu</w:t>
      </w:r>
    </w:p>
    <w:p w:rsidR="008C0325" w:rsidRPr="008C0325" w:rsidRDefault="008C0325" w:rsidP="008C0325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Zajištění souhlasu s dočasným vynětím pozemků dočasného záboru ze ZPF</w:t>
      </w:r>
    </w:p>
    <w:p w:rsidR="008C0325" w:rsidRPr="008C0325" w:rsidRDefault="008C0325" w:rsidP="008C0325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Součinnost zhotovitele při jednáních s vlastníky dotčených pozemků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Odhad stavebních nákladů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-      Prověření průběhu inženýrských sítí, přeložky inženýrských sítí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-      Vyřešení nakládání s odpady dle nového Zákona č. 541/2020 Sb. dle nové Vyhlášky č.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  283/2023 Sb. - Vyhláška o stanovení podmínek, při jejichž splnění jsou znovuzískaná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  asfaltová směs a znovuzískaný penetrační makadam vedlejším produktem nebo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lastRenderedPageBreak/>
        <w:t xml:space="preserve">       přestávají být odpadem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-     Zajištění projednání, potřebných kladných vyjádření a souhlasných stanovisek všech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    orgánů státní správy a samosprávy, organizací a správců dotčených inženýrských sítí pro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    vydání společného územního a stavebního povolení, vč. případného následného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    zapracování změn do projektové dokumentace</w:t>
      </w:r>
    </w:p>
    <w:p w:rsidR="008C0325" w:rsidRPr="008C0325" w:rsidRDefault="008C0325" w:rsidP="008C0325">
      <w:pPr>
        <w:numPr>
          <w:ilvl w:val="0"/>
          <w:numId w:val="21"/>
        </w:numPr>
        <w:spacing w:after="120"/>
        <w:ind w:left="567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o povolení stavebního záměru, zajištění vydání PS včetně potřebné inženýrské činnosti (např. dořešení změn PD v průběhu SŘ), získání doložky nabytí právní moci PS </w:t>
      </w:r>
    </w:p>
    <w:p w:rsidR="008C0325" w:rsidRPr="008C0325" w:rsidRDefault="008C0325" w:rsidP="008C032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Majetkoprávní příprava, včetně zajištění příslušných smluv není součástí předmětu plnění a bude realizována zadavatelem. Zhotovitel zajistí pouze souhlasy dotčených vlastníků pozemků na situační výkres stavby v souladu s §184, odst.2, </w:t>
      </w:r>
      <w:proofErr w:type="spellStart"/>
      <w:proofErr w:type="gramStart"/>
      <w:r w:rsidRPr="008C0325">
        <w:rPr>
          <w:rFonts w:ascii="Arial" w:hAnsi="Arial" w:cs="Arial"/>
          <w:sz w:val="20"/>
          <w:szCs w:val="20"/>
        </w:rPr>
        <w:t>písm.c</w:t>
      </w:r>
      <w:proofErr w:type="spellEnd"/>
      <w:r w:rsidRPr="008C0325">
        <w:rPr>
          <w:rFonts w:ascii="Arial" w:hAnsi="Arial" w:cs="Arial"/>
          <w:sz w:val="20"/>
          <w:szCs w:val="20"/>
        </w:rPr>
        <w:t>) a §187</w:t>
      </w:r>
      <w:proofErr w:type="gramEnd"/>
      <w:r w:rsidRPr="008C0325">
        <w:rPr>
          <w:rFonts w:ascii="Arial" w:hAnsi="Arial" w:cs="Arial"/>
          <w:sz w:val="20"/>
          <w:szCs w:val="20"/>
        </w:rPr>
        <w:t xml:space="preserve"> zákona 283/2021 </w:t>
      </w:r>
      <w:proofErr w:type="spellStart"/>
      <w:r w:rsidRPr="008C0325">
        <w:rPr>
          <w:rFonts w:ascii="Arial" w:hAnsi="Arial" w:cs="Arial"/>
          <w:sz w:val="20"/>
          <w:szCs w:val="20"/>
        </w:rPr>
        <w:t>Sb</w:t>
      </w:r>
      <w:proofErr w:type="spellEnd"/>
      <w:r w:rsidRPr="008C0325">
        <w:rPr>
          <w:rFonts w:ascii="Arial" w:hAnsi="Arial" w:cs="Arial"/>
          <w:sz w:val="20"/>
          <w:szCs w:val="20"/>
        </w:rPr>
        <w:t>, Stavební zákon, v platném znění, s účinností od 1. 1. 2024. Zhotovitel je však dále povinen spolupracovat se zadavatelem při jednání s vlastníky, tj. písemně informovat vlastníky dotčených pozemků o záměru realizovat stavbu, odpovídat na případné otázky vlastníků dotčených pozemků týkajících se technických záležitostí stavby a svolat výrobní výbor za účasti vlastníků dotčených pozemků, zástupců zadavatele a zástupců obcí,  v jejímž katastru se bude záměr realizovat.</w:t>
      </w:r>
    </w:p>
    <w:p w:rsidR="008C0325" w:rsidRPr="008C0325" w:rsidRDefault="008C0325" w:rsidP="008C0325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Dokumentace bude projednána na výrobních výborech (minimálně 2x) za účasti všech orgánů, organizací a vlastníků pozemků, dotčených touto stavbou. Před dokončením a odevzdáním každého stupně projektové dokumentace (tj. DPS a PDPS) budou svolány tzv. </w:t>
      </w:r>
      <w:proofErr w:type="spellStart"/>
      <w:r w:rsidRPr="008C0325">
        <w:rPr>
          <w:rFonts w:ascii="Arial" w:hAnsi="Arial" w:cs="Arial"/>
          <w:sz w:val="20"/>
          <w:szCs w:val="20"/>
        </w:rPr>
        <w:t>technicko-dokumentační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komise (TDK) za účasti všech orgánů, organizací a vlastníků pozemků, dotčených touto stavbou. Zadavateli bude zhotovitelem v dostatečném předstihu   (7 dní) zaslána projektová dokumentace jako podklad pro TDK. Výrobní výbory a TDK svolává a zápis vyhotovuje zhotovitel projektové dokumentace.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Po definitivním odsouhlasení zadavatelem bude následně projektová dokumentace ve stupni pro vydání stavebního povolení (DPS) a projektová dokumentace pro provedení stavby (PDPS) předána zadavateli v tištěné podobě a na CD (v plném rozsahu tištěné podoby) v následujícím počtu: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DPS - 3x v tištěné podobě, vč. dokladové části ve všech </w:t>
      </w:r>
      <w:proofErr w:type="spellStart"/>
      <w:r w:rsidRPr="008C0325">
        <w:rPr>
          <w:rFonts w:ascii="Arial" w:hAnsi="Arial" w:cs="Arial"/>
          <w:sz w:val="20"/>
          <w:szCs w:val="20"/>
        </w:rPr>
        <w:t>paré</w:t>
      </w:r>
      <w:proofErr w:type="spellEnd"/>
      <w:r w:rsidRPr="008C0325">
        <w:rPr>
          <w:rFonts w:ascii="Arial" w:hAnsi="Arial" w:cs="Arial"/>
          <w:sz w:val="20"/>
          <w:szCs w:val="20"/>
        </w:rPr>
        <w:t>, 1x v digitální ve formátu *.</w:t>
      </w:r>
      <w:proofErr w:type="spellStart"/>
      <w:r w:rsidRPr="008C0325">
        <w:rPr>
          <w:rFonts w:ascii="Arial" w:hAnsi="Arial" w:cs="Arial"/>
          <w:sz w:val="20"/>
          <w:szCs w:val="20"/>
        </w:rPr>
        <w:t>dwg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8C0325">
        <w:rPr>
          <w:rFonts w:ascii="Arial" w:hAnsi="Arial" w:cs="Arial"/>
          <w:sz w:val="20"/>
          <w:szCs w:val="20"/>
        </w:rPr>
        <w:t>pdf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Záborový elaborát – 2x v tištěné podobě, 1x v digitální ve formátu *.</w:t>
      </w:r>
      <w:proofErr w:type="spellStart"/>
      <w:r w:rsidRPr="008C0325">
        <w:rPr>
          <w:rFonts w:ascii="Arial" w:hAnsi="Arial" w:cs="Arial"/>
          <w:sz w:val="20"/>
          <w:szCs w:val="20"/>
        </w:rPr>
        <w:t>pdf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8C0325">
        <w:rPr>
          <w:rFonts w:ascii="Arial" w:hAnsi="Arial" w:cs="Arial"/>
          <w:sz w:val="20"/>
          <w:szCs w:val="20"/>
        </w:rPr>
        <w:t>xls</w:t>
      </w:r>
      <w:proofErr w:type="spellEnd"/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Geodetické zaměření – 1x v digitální ve formátu *.</w:t>
      </w:r>
      <w:proofErr w:type="spellStart"/>
      <w:r w:rsidRPr="008C0325">
        <w:rPr>
          <w:rFonts w:ascii="Arial" w:hAnsi="Arial" w:cs="Arial"/>
          <w:sz w:val="20"/>
          <w:szCs w:val="20"/>
        </w:rPr>
        <w:t>dwg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8C0325">
        <w:rPr>
          <w:rFonts w:ascii="Arial" w:hAnsi="Arial" w:cs="Arial"/>
          <w:sz w:val="20"/>
          <w:szCs w:val="20"/>
        </w:rPr>
        <w:t>pdf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a vytyčovací síť vytyčovaných bodů ve formátu *.doc, *.</w:t>
      </w:r>
      <w:proofErr w:type="spellStart"/>
      <w:r w:rsidRPr="008C0325">
        <w:rPr>
          <w:rFonts w:ascii="Arial" w:hAnsi="Arial" w:cs="Arial"/>
          <w:sz w:val="20"/>
          <w:szCs w:val="20"/>
        </w:rPr>
        <w:t>xls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8C0325">
        <w:rPr>
          <w:rFonts w:ascii="Arial" w:hAnsi="Arial" w:cs="Arial"/>
          <w:sz w:val="20"/>
          <w:szCs w:val="20"/>
        </w:rPr>
        <w:t>txt</w:t>
      </w:r>
      <w:proofErr w:type="spellEnd"/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Odhad stavebních nákladů – 1x v digitální ve formátu *.</w:t>
      </w:r>
      <w:proofErr w:type="spellStart"/>
      <w:r w:rsidRPr="008C0325">
        <w:rPr>
          <w:rFonts w:ascii="Arial" w:hAnsi="Arial" w:cs="Arial"/>
          <w:sz w:val="20"/>
          <w:szCs w:val="20"/>
        </w:rPr>
        <w:t>pdf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8C0325">
        <w:rPr>
          <w:rFonts w:ascii="Arial" w:hAnsi="Arial" w:cs="Arial"/>
          <w:sz w:val="20"/>
          <w:szCs w:val="20"/>
        </w:rPr>
        <w:t>xls</w:t>
      </w:r>
      <w:proofErr w:type="spellEnd"/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C0325">
        <w:rPr>
          <w:rFonts w:ascii="Arial" w:hAnsi="Arial" w:cs="Arial"/>
          <w:b/>
          <w:sz w:val="20"/>
          <w:szCs w:val="20"/>
        </w:rPr>
        <w:t>Vypracování dokumentace pro provádění stavby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liniových staveb a silničního správního úřadu, č. j. MD-23142/2022-930/2, ze dne 12. 7. 2022, s účinností od 1. 8. 2022, Zákonem č. 283/2021 Sb. - Stavební zákon nahrazeno, Zákonem č. 284/2021 Sb. - Zákon, kterým se mění některé zákony v souvislosti s přijetím stavebního zákona, Zákonem č. 195/2022 Sb. - Zákon, kterým se mění zákon č. 283/2021 Sb., stavební zákon,  Zákonem č. 152/2023 Sb. - Zákon, kterým se mění zákon č. 283/2021 Sb., stavební zákon, ve znění zákona č. 195/2022 Sb., a některé další související zákony. </w:t>
      </w:r>
      <w:r w:rsidRPr="008C0325">
        <w:rPr>
          <w:rFonts w:ascii="Arial" w:eastAsia="Times New Roman" w:hAnsi="Arial" w:cs="Arial"/>
          <w:sz w:val="20"/>
          <w:szCs w:val="20"/>
          <w:lang w:eastAsia="cs-CZ"/>
        </w:rPr>
        <w:t xml:space="preserve">Novou vyhláškou č. 227/2024 Sb. - o rozsahu a obsahu projektové dokumentace staveb dopravní infrastruktury. </w:t>
      </w:r>
      <w:r w:rsidRPr="008C0325">
        <w:rPr>
          <w:rFonts w:ascii="Arial" w:hAnsi="Arial" w:cs="Arial"/>
          <w:sz w:val="20"/>
          <w:szCs w:val="20"/>
        </w:rPr>
        <w:t>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</w:t>
      </w:r>
      <w:r>
        <w:rPr>
          <w:rFonts w:ascii="Arial" w:hAnsi="Arial" w:cs="Arial"/>
          <w:sz w:val="20"/>
          <w:szCs w:val="20"/>
        </w:rPr>
        <w:t>kací z 12/2023 a bude obsahovat</w:t>
      </w:r>
      <w:r w:rsidRPr="008C0325">
        <w:rPr>
          <w:rFonts w:ascii="Arial" w:hAnsi="Arial" w:cs="Arial"/>
          <w:sz w:val="20"/>
          <w:szCs w:val="20"/>
        </w:rPr>
        <w:t>:</w:t>
      </w:r>
    </w:p>
    <w:p w:rsidR="008C0325" w:rsidRPr="008C0325" w:rsidRDefault="008C0325" w:rsidP="008C0325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>Návrh rekonstrukce stávajícího mostu v souladu se zpracovanou DPS.</w:t>
      </w:r>
      <w:r w:rsidRPr="008C0325">
        <w:rPr>
          <w:rFonts w:ascii="Arial" w:hAnsi="Arial" w:cs="Arial"/>
          <w:sz w:val="20"/>
          <w:szCs w:val="20"/>
        </w:rPr>
        <w:t xml:space="preserve"> </w:t>
      </w:r>
      <w:r w:rsidRPr="008C0325">
        <w:rPr>
          <w:rFonts w:ascii="Arial" w:eastAsia="Times New Roman" w:hAnsi="Arial" w:cs="Arial"/>
          <w:sz w:val="20"/>
          <w:szCs w:val="20"/>
          <w:lang w:eastAsia="cs-CZ"/>
        </w:rPr>
        <w:t>Součástí dokumentace bude řešení případných přeložek inženýrských sítí a úprava konstrukce silnice v daném rozsahu.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Vytyčovací výkres stavby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Definitivní dopravní značení včetně příslušných projednání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lastRenderedPageBreak/>
        <w:t>Katastrální a koordinační situace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Zásady organizace výstavby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 xml:space="preserve">-   </w:t>
      </w:r>
      <w:r w:rsidRPr="008C0325">
        <w:rPr>
          <w:rFonts w:ascii="Arial" w:hAnsi="Arial" w:cs="Arial"/>
          <w:sz w:val="20"/>
          <w:szCs w:val="20"/>
        </w:rPr>
        <w:t xml:space="preserve">   Výkaz výměr s bilancí zemních prací</w:t>
      </w:r>
      <w:r w:rsidRPr="008C032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8C0325">
        <w:rPr>
          <w:rFonts w:ascii="Arial" w:hAnsi="Arial" w:cs="Arial"/>
          <w:sz w:val="20"/>
          <w:szCs w:val="20"/>
        </w:rPr>
        <w:t xml:space="preserve">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-      Dopravně inženýrská opatření (DIO) po dobu provádění stavebních prací, návrh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  objízdných tras, svislé dopravní značení pro dopravní opatření (zřízení a odstranění) bude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  navrženo dle TP 66 pro provizorní dopravní značení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-     Zpracování plánu BOZP ve fázi přípravy projektu odborně způsobilou osobou s platným                                                        osvědčením dle Zákona č. 309/2006 Sb. § 10,  § 14  a § 15 -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 Rozsah plánu bude dle Přílohy č. 6 k Nařízení vlády č. 591/2006 Sb. - Nařízení vlády o bližších minimálních požadavcích na bezpečnost a ochranu zdraví při práci na staveništích Nařízení vlády č. 136/2016 Sb. - Nařízení vlády, kterým se mění nařízení vlády č. 591/2006 Sb., o bližších minimálních požadavcích na bezpečnost a ochranu zdraví při práci na staveništích, a nařízení vlády č. 592/2006 Sb., o podmínkách akreditace a provádění zkoušek z odborné způsobilosti.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  Plán BOZP potvrzený koordinátorem BOZP – </w:t>
      </w:r>
      <w:r w:rsidRPr="008C0325">
        <w:rPr>
          <w:rFonts w:ascii="Arial" w:hAnsi="Arial" w:cs="Arial"/>
          <w:b/>
          <w:bCs/>
          <w:sz w:val="20"/>
          <w:szCs w:val="20"/>
          <w:u w:val="single"/>
        </w:rPr>
        <w:t>zhotovitel PD sdělí na VVV kontaktní údaje na koordinátora BOZP pro zpracování Plánu BOZP příslušnému zástupci ve věcech technických, který zajistí administraci objednávky Plánu BOZP na příslušného koordinátora BOZP.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-      Havarijní a povodňový plán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-      Neoceněný soupis prací, oceněný soupis prací (kontrolní rozpočet pro potřeby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  zadavatele), soupis prací bude zpracován v rozpočtovém programu </w:t>
      </w:r>
      <w:proofErr w:type="spellStart"/>
      <w:r w:rsidRPr="008C0325">
        <w:rPr>
          <w:rFonts w:ascii="Arial" w:hAnsi="Arial" w:cs="Arial"/>
          <w:sz w:val="20"/>
          <w:szCs w:val="20"/>
        </w:rPr>
        <w:t>Aspe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(v oborovém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  třídníku stavebních konstrukcí OTSKP) v souladu s vyhláškou č. 405/2017 Sb., kterou se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  mění vyhláška č. 499/2006 Sb., o dokumentaci staveb, ve znění vyhlášky č. 62/2013 Sb.,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  a s Vyhláškou č. 169/2016 Sb., o stanovení rozsahu dokumentace veřejné zakázky </w:t>
      </w:r>
      <w:proofErr w:type="gramStart"/>
      <w:r w:rsidRPr="008C0325">
        <w:rPr>
          <w:rFonts w:ascii="Arial" w:hAnsi="Arial" w:cs="Arial"/>
          <w:sz w:val="20"/>
          <w:szCs w:val="20"/>
        </w:rPr>
        <w:t>na</w:t>
      </w:r>
      <w:proofErr w:type="gramEnd"/>
      <w:r w:rsidRPr="008C0325">
        <w:rPr>
          <w:rFonts w:ascii="Arial" w:hAnsi="Arial" w:cs="Arial"/>
          <w:sz w:val="20"/>
          <w:szCs w:val="20"/>
        </w:rPr>
        <w:t xml:space="preserve">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      stavební práce a soupisu stavebních prací, dodávek a služeb s výkazem výměr.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8C0325" w:rsidRPr="008C0325" w:rsidRDefault="008C0325" w:rsidP="008C032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 vlastníků pozemků, dotčených touto stavbou. Jednání svolává a zápis vyhotovuje zhotovitel projektové dokumentace.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PDPS - 3x v tištěné podobě, 1x v digitální ve formátu *.</w:t>
      </w:r>
      <w:proofErr w:type="spellStart"/>
      <w:r w:rsidRPr="008C0325">
        <w:rPr>
          <w:rFonts w:ascii="Arial" w:hAnsi="Arial" w:cs="Arial"/>
          <w:sz w:val="20"/>
          <w:szCs w:val="20"/>
        </w:rPr>
        <w:t>dwg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8C0325">
        <w:rPr>
          <w:rFonts w:ascii="Arial" w:hAnsi="Arial" w:cs="Arial"/>
          <w:sz w:val="20"/>
          <w:szCs w:val="20"/>
        </w:rPr>
        <w:t>pdf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Oceněný soupis prací – 1x v digitální ve formátu *.</w:t>
      </w:r>
      <w:proofErr w:type="spellStart"/>
      <w:r w:rsidRPr="008C0325">
        <w:rPr>
          <w:rFonts w:ascii="Arial" w:hAnsi="Arial" w:cs="Arial"/>
          <w:sz w:val="20"/>
          <w:szCs w:val="20"/>
        </w:rPr>
        <w:t>xls</w:t>
      </w:r>
      <w:proofErr w:type="spellEnd"/>
      <w:r w:rsidRPr="008C0325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8C0325">
        <w:rPr>
          <w:rFonts w:ascii="Arial" w:hAnsi="Arial" w:cs="Arial"/>
          <w:sz w:val="20"/>
          <w:szCs w:val="20"/>
        </w:rPr>
        <w:t>pdf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8C0325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8C0325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8C0325">
        <w:rPr>
          <w:rFonts w:ascii="Arial" w:hAnsi="Arial" w:cs="Arial"/>
          <w:sz w:val="20"/>
          <w:szCs w:val="20"/>
        </w:rPr>
        <w:t>Aspe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v datovém předpisu XC4)</w:t>
      </w:r>
    </w:p>
    <w:p w:rsidR="008C0325" w:rsidRPr="008C0325" w:rsidRDefault="008C0325" w:rsidP="008C0325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Neoceněný soupis prací – 1x v digitální ve formátu *.</w:t>
      </w:r>
      <w:proofErr w:type="spellStart"/>
      <w:r w:rsidRPr="008C0325">
        <w:rPr>
          <w:rFonts w:ascii="Arial" w:hAnsi="Arial" w:cs="Arial"/>
          <w:sz w:val="20"/>
          <w:szCs w:val="20"/>
        </w:rPr>
        <w:t>xls</w:t>
      </w:r>
      <w:proofErr w:type="spellEnd"/>
      <w:r w:rsidRPr="008C0325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8C0325">
        <w:rPr>
          <w:rFonts w:ascii="Arial" w:hAnsi="Arial" w:cs="Arial"/>
          <w:sz w:val="20"/>
          <w:szCs w:val="20"/>
        </w:rPr>
        <w:t>pdf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8C0325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8C0325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8C0325">
        <w:rPr>
          <w:rFonts w:ascii="Arial" w:hAnsi="Arial" w:cs="Arial"/>
          <w:sz w:val="20"/>
          <w:szCs w:val="20"/>
        </w:rPr>
        <w:t>Aspe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v datovém předpisu XC4)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Tahoma" w:hAnsi="Tahoma" w:cs="Tahoma"/>
          <w:sz w:val="20"/>
          <w:szCs w:val="20"/>
        </w:rPr>
        <w:t>⁕</w:t>
      </w:r>
      <w:r w:rsidRPr="008C0325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Digitální podoba projektové dokumentace bude předána na nosiči CD v plném rozsahu tištěné podoby.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7" w:history="1">
        <w:r w:rsidRPr="008C0325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8C0325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8C0325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8C0325">
        <w:rPr>
          <w:rFonts w:ascii="Arial" w:hAnsi="Arial" w:cs="Arial"/>
          <w:sz w:val="20"/>
          <w:szCs w:val="20"/>
        </w:rPr>
        <w:t xml:space="preserve">“. 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C0325">
        <w:rPr>
          <w:rFonts w:ascii="Arial" w:hAnsi="Arial" w:cs="Arial"/>
          <w:b/>
          <w:sz w:val="20"/>
          <w:szCs w:val="20"/>
        </w:rPr>
        <w:t>Zajištění vydání potřebných společných územních a stavebních povolení</w:t>
      </w:r>
    </w:p>
    <w:p w:rsidR="008C0325" w:rsidRPr="008C0325" w:rsidRDefault="008C0325" w:rsidP="008C0325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8C0325">
        <w:rPr>
          <w:rFonts w:ascii="Arial" w:hAnsi="Arial" w:cs="Arial"/>
          <w:bCs/>
          <w:sz w:val="20"/>
          <w:szCs w:val="20"/>
        </w:rPr>
        <w:t xml:space="preserve">Zpracování potřebných žádostí o vydání společných územních a stavebních povolení včetně všech požadovaných příloh, vyjádření a stanovisek a podání řádných žádostí k příslušným stavebním úřadům dle jednotlivých stavebních objektů a příslušnosti k úřadu, který stavební objekty povoluje. </w:t>
      </w:r>
    </w:p>
    <w:p w:rsidR="008C0325" w:rsidRPr="008C0325" w:rsidRDefault="008C0325" w:rsidP="008C0325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8C0325">
        <w:rPr>
          <w:rFonts w:ascii="Arial" w:hAnsi="Arial" w:cs="Arial"/>
          <w:bCs/>
          <w:sz w:val="20"/>
          <w:szCs w:val="20"/>
        </w:rPr>
        <w:lastRenderedPageBreak/>
        <w:t>Před podáním žádostí na příslušné stavební úřady, je zhotovitel povinen odsouhlasit si tyto žádosti včetně všech příloh se zástupci zadavatele.</w:t>
      </w:r>
    </w:p>
    <w:p w:rsidR="008C0325" w:rsidRPr="008C0325" w:rsidRDefault="008C0325" w:rsidP="008C0325">
      <w:p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8C0325">
        <w:rPr>
          <w:rFonts w:ascii="Arial" w:hAnsi="Arial" w:cs="Arial"/>
          <w:bCs/>
          <w:sz w:val="20"/>
          <w:szCs w:val="20"/>
        </w:rPr>
        <w:t xml:space="preserve">Pravomocná stavební povolení budou předány zadavateli: </w:t>
      </w:r>
    </w:p>
    <w:p w:rsidR="008C0325" w:rsidRPr="008C0325" w:rsidRDefault="008C0325" w:rsidP="008C0325">
      <w:pPr>
        <w:numPr>
          <w:ilvl w:val="0"/>
          <w:numId w:val="23"/>
        </w:numPr>
        <w:tabs>
          <w:tab w:val="clear" w:pos="36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1x originál každého povolení stavby (PS) v písemné podobě s vyznačením nabytí právní moci + projektová dokumentace pro povolení stavby (DPS) ověřená stavebním úřadem.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C0325">
        <w:rPr>
          <w:rFonts w:ascii="Arial" w:hAnsi="Arial" w:cs="Arial"/>
          <w:b/>
          <w:sz w:val="20"/>
          <w:szCs w:val="20"/>
        </w:rPr>
        <w:t>Výkon autorského dozoru</w:t>
      </w:r>
    </w:p>
    <w:p w:rsidR="008C0325" w:rsidRPr="008C0325" w:rsidRDefault="008C0325" w:rsidP="008C0325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8C0325">
        <w:rPr>
          <w:rFonts w:ascii="Arial" w:hAnsi="Arial" w:cs="Arial"/>
          <w:sz w:val="20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8C0325" w:rsidRPr="008C0325" w:rsidRDefault="008C0325" w:rsidP="008C0325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8C0325">
        <w:rPr>
          <w:rFonts w:ascii="Arial" w:hAnsi="Arial" w:cs="Arial"/>
          <w:sz w:val="20"/>
        </w:rPr>
        <w:t>Zhotovitel je povinen při plnění AD poskytnout svoji součinnost vždy bezodkladně poté, kdy bude k tomu zadavatelem vyzván nebo poté, kdy takovou potřebu sám zjistí.</w:t>
      </w:r>
    </w:p>
    <w:p w:rsidR="008C0325" w:rsidRPr="008C0325" w:rsidRDefault="008C0325" w:rsidP="008C0325">
      <w:pPr>
        <w:pStyle w:val="Zkladntextodsazen21"/>
        <w:spacing w:line="276" w:lineRule="auto"/>
        <w:ind w:left="0" w:firstLine="0"/>
        <w:rPr>
          <w:rFonts w:ascii="Arial" w:hAnsi="Arial" w:cs="Arial"/>
          <w:sz w:val="20"/>
        </w:rPr>
      </w:pPr>
      <w:r w:rsidRPr="008C0325">
        <w:rPr>
          <w:rFonts w:ascii="Arial" w:hAnsi="Arial" w:cs="Arial"/>
          <w:sz w:val="20"/>
        </w:rPr>
        <w:t>Předmětem výkonu AD je především:</w:t>
      </w:r>
    </w:p>
    <w:p w:rsidR="008C0325" w:rsidRPr="008C0325" w:rsidRDefault="008C0325" w:rsidP="008C032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účastnit se předání staveniště dodavateli</w:t>
      </w:r>
    </w:p>
    <w:p w:rsidR="008C0325" w:rsidRPr="008C0325" w:rsidRDefault="008C0325" w:rsidP="008C032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dohled nad realizací díla</w:t>
      </w:r>
    </w:p>
    <w:p w:rsidR="008C0325" w:rsidRPr="008C0325" w:rsidRDefault="008C0325" w:rsidP="008C032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kontrola dodržování projektové dokumentace s přihlédnutím na podmínky určené stavebním povolením, souhlasem stavebního úřadu, případně nařízením nezbytných stavebních úprav</w:t>
      </w:r>
    </w:p>
    <w:p w:rsidR="008C0325" w:rsidRPr="008C0325" w:rsidRDefault="008C0325" w:rsidP="008C032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8C0325" w:rsidRPr="008C0325" w:rsidRDefault="008C0325" w:rsidP="008C032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8C0325" w:rsidRPr="008C0325" w:rsidRDefault="008C0325" w:rsidP="008C032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8C0325" w:rsidRPr="008C0325" w:rsidRDefault="008C0325" w:rsidP="008C032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8C0325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8C0325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8C0325" w:rsidRPr="008C0325" w:rsidRDefault="008C0325" w:rsidP="008C032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8C0325" w:rsidRPr="008C0325" w:rsidRDefault="008C0325" w:rsidP="008C032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8C0325" w:rsidRPr="008C0325" w:rsidRDefault="008C0325" w:rsidP="008C032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8C0325" w:rsidRPr="008C0325" w:rsidRDefault="008C0325" w:rsidP="008C032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8C0325" w:rsidRPr="008C0325" w:rsidRDefault="008C0325" w:rsidP="008C032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8C0325" w:rsidRPr="008C0325" w:rsidRDefault="008C0325" w:rsidP="008C032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8C0325" w:rsidRPr="008C0325" w:rsidRDefault="008C0325" w:rsidP="008C0325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8C0325" w:rsidRPr="008C0325" w:rsidRDefault="008C0325" w:rsidP="008C0325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8C0325">
        <w:rPr>
          <w:rFonts w:ascii="Arial" w:hAnsi="Arial" w:cs="Arial"/>
          <w:iCs/>
          <w:sz w:val="20"/>
        </w:rPr>
        <w:t>Zjistí-li autor při výkonu autorského dozoru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8C0325" w:rsidRPr="008C0325" w:rsidRDefault="008C0325" w:rsidP="008C0325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8C0325">
        <w:rPr>
          <w:rFonts w:ascii="Arial" w:hAnsi="Arial" w:cs="Arial"/>
          <w:sz w:val="20"/>
        </w:rPr>
        <w:t xml:space="preserve">AD bude vykonáván na vyžádání ze strany zadavatele. Předmět, termín a místo výkonu AD budou dohodnuty vždy individuálně při každé výzvě zadavatele. </w:t>
      </w:r>
    </w:p>
    <w:p w:rsidR="008C0325" w:rsidRPr="008C0325" w:rsidRDefault="008C0325" w:rsidP="008C0325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</w:p>
    <w:p w:rsidR="008C0325" w:rsidRPr="008C0325" w:rsidRDefault="008C0325" w:rsidP="008C0325">
      <w:pPr>
        <w:rPr>
          <w:rFonts w:ascii="Arial" w:hAnsi="Arial" w:cs="Arial"/>
          <w:b/>
          <w:sz w:val="20"/>
          <w:szCs w:val="20"/>
          <w:u w:val="single"/>
        </w:rPr>
      </w:pPr>
      <w:r w:rsidRPr="008C0325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8C0325" w:rsidRPr="008C0325" w:rsidRDefault="008C0325" w:rsidP="008C0325">
      <w:pPr>
        <w:rPr>
          <w:rFonts w:ascii="Arial" w:hAnsi="Arial" w:cs="Arial"/>
          <w:b/>
          <w:sz w:val="20"/>
          <w:szCs w:val="20"/>
          <w:u w:val="single"/>
        </w:rPr>
      </w:pPr>
      <w:r w:rsidRPr="008C0325">
        <w:rPr>
          <w:rFonts w:ascii="Arial" w:hAnsi="Arial" w:cs="Arial"/>
          <w:sz w:val="20"/>
          <w:szCs w:val="20"/>
        </w:rPr>
        <w:t>Místo stavby – Kraj Vysočina, okres Žďár nad Sázavou,  město Nové Město na Moravě</w:t>
      </w:r>
    </w:p>
    <w:p w:rsidR="008C0325" w:rsidRPr="008C0325" w:rsidRDefault="008C0325" w:rsidP="008C0325">
      <w:pPr>
        <w:rPr>
          <w:rFonts w:ascii="Arial" w:hAnsi="Arial" w:cs="Arial"/>
          <w:b/>
          <w:sz w:val="20"/>
          <w:szCs w:val="20"/>
          <w:u w:val="single"/>
        </w:rPr>
      </w:pPr>
      <w:r w:rsidRPr="008C0325">
        <w:rPr>
          <w:rFonts w:ascii="Arial" w:hAnsi="Arial" w:cs="Arial"/>
          <w:b/>
          <w:sz w:val="20"/>
          <w:szCs w:val="20"/>
          <w:u w:val="single"/>
        </w:rPr>
        <w:lastRenderedPageBreak/>
        <w:t>Veřejný provoz</w:t>
      </w:r>
    </w:p>
    <w:p w:rsidR="008C0325" w:rsidRPr="008C0325" w:rsidRDefault="008C0325" w:rsidP="008C0325">
      <w:pPr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Zadavatel předpokládá, že projektovaná rekonstrukce bude probíhat za úplné uzavírky silničního provozu. Návrh možnosti využití místní cyklostezky pro převedení chodců a cyklistů po dobu výstavby mostu.</w:t>
      </w:r>
    </w:p>
    <w:p w:rsidR="008C0325" w:rsidRPr="008C0325" w:rsidRDefault="008C0325" w:rsidP="008C0325">
      <w:pPr>
        <w:rPr>
          <w:rFonts w:ascii="Arial" w:hAnsi="Arial" w:cs="Arial"/>
          <w:sz w:val="20"/>
          <w:szCs w:val="20"/>
        </w:rPr>
      </w:pPr>
    </w:p>
    <w:p w:rsidR="008C0325" w:rsidRPr="008C0325" w:rsidRDefault="008C0325" w:rsidP="008C0325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Seznam poskytnut</w:t>
      </w:r>
      <w:r w:rsidRPr="008C0325">
        <w:rPr>
          <w:rFonts w:ascii="Arial" w:hAnsi="Arial" w:cs="Arial"/>
          <w:b/>
          <w:sz w:val="20"/>
          <w:szCs w:val="20"/>
          <w:u w:val="single"/>
        </w:rPr>
        <w:t>ých podkladů</w:t>
      </w:r>
    </w:p>
    <w:p w:rsidR="008C0325" w:rsidRPr="008C0325" w:rsidRDefault="008C0325" w:rsidP="008C0325">
      <w:pPr>
        <w:pStyle w:val="3"/>
        <w:numPr>
          <w:ilvl w:val="0"/>
          <w:numId w:val="23"/>
        </w:numPr>
        <w:rPr>
          <w:rFonts w:ascii="Arial" w:hAnsi="Arial" w:cs="Arial"/>
          <w:b/>
          <w:sz w:val="20"/>
          <w:szCs w:val="20"/>
          <w:u w:val="single"/>
        </w:rPr>
      </w:pPr>
      <w:r w:rsidRPr="008C0325">
        <w:rPr>
          <w:rFonts w:ascii="Arial" w:hAnsi="Arial" w:cs="Arial"/>
          <w:sz w:val="20"/>
          <w:szCs w:val="20"/>
        </w:rPr>
        <w:t>Přehledná situace</w:t>
      </w:r>
    </w:p>
    <w:p w:rsidR="008C0325" w:rsidRPr="008C0325" w:rsidRDefault="008C0325" w:rsidP="008C0325">
      <w:pPr>
        <w:pStyle w:val="Odstavecseseznamem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Mostní list mostu ev. č. ML 354-017</w:t>
      </w:r>
    </w:p>
    <w:p w:rsidR="008C0325" w:rsidRPr="008C0325" w:rsidRDefault="008C0325" w:rsidP="008C0325">
      <w:pPr>
        <w:pStyle w:val="Odstavecseseznamem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8C0325">
        <w:rPr>
          <w:rFonts w:ascii="Arial" w:hAnsi="Arial" w:cs="Arial"/>
          <w:sz w:val="20"/>
          <w:szCs w:val="20"/>
        </w:rPr>
        <w:t>Poslední provedená hlavní mostní prohlídka mostu ev. č. HPM 354-017 2022-10-05</w:t>
      </w:r>
    </w:p>
    <w:p w:rsidR="008C0325" w:rsidRPr="008C0325" w:rsidRDefault="008C0325" w:rsidP="008C0325">
      <w:pPr>
        <w:pStyle w:val="3"/>
        <w:rPr>
          <w:rFonts w:ascii="Arial" w:hAnsi="Arial" w:cs="Arial"/>
          <w:b/>
          <w:sz w:val="20"/>
          <w:szCs w:val="20"/>
          <w:u w:val="single"/>
        </w:rPr>
      </w:pPr>
    </w:p>
    <w:p w:rsidR="008C0325" w:rsidRPr="008C0325" w:rsidRDefault="008C0325" w:rsidP="008C0325">
      <w:pPr>
        <w:pStyle w:val="3"/>
        <w:rPr>
          <w:rFonts w:ascii="Arial" w:hAnsi="Arial" w:cs="Arial"/>
          <w:b/>
          <w:sz w:val="20"/>
          <w:szCs w:val="20"/>
          <w:u w:val="single"/>
        </w:rPr>
      </w:pPr>
    </w:p>
    <w:p w:rsidR="008C0325" w:rsidRPr="008C0325" w:rsidRDefault="008C0325" w:rsidP="008C0325">
      <w:pPr>
        <w:pStyle w:val="3"/>
        <w:rPr>
          <w:rFonts w:ascii="Arial" w:hAnsi="Arial" w:cs="Arial"/>
          <w:b/>
          <w:sz w:val="20"/>
          <w:szCs w:val="20"/>
          <w:u w:val="single"/>
        </w:rPr>
      </w:pPr>
    </w:p>
    <w:p w:rsidR="008C0325" w:rsidRPr="008C0325" w:rsidRDefault="008C0325" w:rsidP="008C0325">
      <w:pPr>
        <w:rPr>
          <w:rFonts w:ascii="Arial" w:hAnsi="Arial" w:cs="Arial"/>
          <w:b/>
          <w:sz w:val="20"/>
          <w:szCs w:val="20"/>
          <w:u w:val="single"/>
        </w:rPr>
      </w:pPr>
      <w:r w:rsidRPr="008C0325">
        <w:rPr>
          <w:rFonts w:ascii="Arial" w:hAnsi="Arial" w:cs="Arial"/>
          <w:b/>
          <w:sz w:val="20"/>
          <w:szCs w:val="20"/>
          <w:u w:val="single"/>
        </w:rPr>
        <w:t>Lhůty plnění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>Zahájení realizace:</w:t>
      </w:r>
      <w:r w:rsidRPr="008C032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C032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C032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C0325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8C0325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ihned po nabytí účinnosti smlouvy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>IGP průzkum a návrh technického řešení</w:t>
      </w:r>
      <w:r w:rsidRPr="008C0325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90 dnů od nabytí účinnosti smlouvy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>Dokumentace DPS (koncept)</w:t>
      </w:r>
      <w:r w:rsidRPr="008C0325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150 dnů od nabytí účinnosti smlouvy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 xml:space="preserve">Dokumentace DPS (čistopis, včetně IČ a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>projednání s DOSS, odsouhlasený objednatelem)</w:t>
      </w:r>
      <w:r w:rsidRPr="008C0325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60 dnů od předání konceptu DUSP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>Podání žádosti pro povolení stavebního záměru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30 dnů od dokončení IČ, nebo do 30    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     dnů od předání DUSP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 xml:space="preserve">Dokumentace PDPS (čistopis, včetně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 xml:space="preserve">zapracování případných připomínek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>ze stavebního řízení a včetně soupisů prací,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>odsouhlasený objednatelem)</w:t>
      </w:r>
      <w:r w:rsidRPr="008C0325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60 dnů od vydání pravomocného 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     PS stavebním úřadem</w:t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before="240" w:after="120" w:line="240" w:lineRule="auto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8C0325">
        <w:rPr>
          <w:rFonts w:ascii="Arial" w:eastAsia="Times New Roman" w:hAnsi="Arial" w:cs="Arial"/>
          <w:sz w:val="20"/>
          <w:szCs w:val="20"/>
          <w:lang w:eastAsia="cs-CZ"/>
        </w:rPr>
        <w:t>Předpoklad zahájení výkonu autorského dozoru</w:t>
      </w:r>
      <w:r w:rsidRPr="008C0325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do 60 měsíců od vydání pravomocného  povolení stavby</w:t>
      </w:r>
      <w:r w:rsidRPr="008C0325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8C0325" w:rsidRPr="008C0325" w:rsidRDefault="008C0325" w:rsidP="008C0325">
      <w:pPr>
        <w:overflowPunct w:val="0"/>
        <w:autoSpaceDE w:val="0"/>
        <w:autoSpaceDN w:val="0"/>
        <w:adjustRightInd w:val="0"/>
        <w:spacing w:before="240" w:after="120" w:line="240" w:lineRule="auto"/>
        <w:ind w:left="4245" w:hanging="4245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B545BC" w:rsidRPr="007E6FEB" w:rsidRDefault="00B545BC" w:rsidP="008C0325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</w:rPr>
      </w:pPr>
    </w:p>
    <w:sectPr w:rsidR="00B545BC" w:rsidRPr="007E6FEB" w:rsidSect="0034703B">
      <w:headerReference w:type="default" r:id="rId8"/>
      <w:footerReference w:type="default" r:id="rId9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4B6CFA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4B6CFA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3"/>
  </w:num>
  <w:num w:numId="15">
    <w:abstractNumId w:val="19"/>
  </w:num>
  <w:num w:numId="16">
    <w:abstractNumId w:val="2"/>
  </w:num>
  <w:num w:numId="17">
    <w:abstractNumId w:val="8"/>
  </w:num>
  <w:num w:numId="18">
    <w:abstractNumId w:val="24"/>
  </w:num>
  <w:num w:numId="19">
    <w:abstractNumId w:val="18"/>
  </w:num>
  <w:num w:numId="20">
    <w:abstractNumId w:val="16"/>
  </w:num>
  <w:num w:numId="21">
    <w:abstractNumId w:val="3"/>
  </w:num>
  <w:num w:numId="22">
    <w:abstractNumId w:val="20"/>
  </w:num>
  <w:num w:numId="23">
    <w:abstractNumId w:val="17"/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C2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6103B"/>
    <w:rsid w:val="00167A1E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15B4"/>
    <w:rsid w:val="002819DD"/>
    <w:rsid w:val="00294439"/>
    <w:rsid w:val="002A2808"/>
    <w:rsid w:val="002A70F8"/>
    <w:rsid w:val="002D116F"/>
    <w:rsid w:val="002D2AC8"/>
    <w:rsid w:val="00322187"/>
    <w:rsid w:val="00335791"/>
    <w:rsid w:val="0034703B"/>
    <w:rsid w:val="00355D64"/>
    <w:rsid w:val="003634A2"/>
    <w:rsid w:val="003A6635"/>
    <w:rsid w:val="003B523E"/>
    <w:rsid w:val="003C0016"/>
    <w:rsid w:val="003C5BC7"/>
    <w:rsid w:val="003D36F1"/>
    <w:rsid w:val="00405F21"/>
    <w:rsid w:val="00413BFA"/>
    <w:rsid w:val="0043662A"/>
    <w:rsid w:val="00437E4E"/>
    <w:rsid w:val="00487EB6"/>
    <w:rsid w:val="004B1D1B"/>
    <w:rsid w:val="004B2925"/>
    <w:rsid w:val="004B3A5B"/>
    <w:rsid w:val="004B4D66"/>
    <w:rsid w:val="004B6CFA"/>
    <w:rsid w:val="004C2E7C"/>
    <w:rsid w:val="004C3D34"/>
    <w:rsid w:val="004E26C7"/>
    <w:rsid w:val="004F4618"/>
    <w:rsid w:val="005252AA"/>
    <w:rsid w:val="0052571B"/>
    <w:rsid w:val="005562DB"/>
    <w:rsid w:val="00575531"/>
    <w:rsid w:val="00580C5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723546"/>
    <w:rsid w:val="007349F9"/>
    <w:rsid w:val="007462B8"/>
    <w:rsid w:val="007524A0"/>
    <w:rsid w:val="00756EC0"/>
    <w:rsid w:val="0076591D"/>
    <w:rsid w:val="00771D72"/>
    <w:rsid w:val="00781C90"/>
    <w:rsid w:val="00794F75"/>
    <w:rsid w:val="007D1374"/>
    <w:rsid w:val="007E6FEB"/>
    <w:rsid w:val="007F411D"/>
    <w:rsid w:val="007F463F"/>
    <w:rsid w:val="008023D2"/>
    <w:rsid w:val="00817C5F"/>
    <w:rsid w:val="008209FA"/>
    <w:rsid w:val="00844B90"/>
    <w:rsid w:val="0085017D"/>
    <w:rsid w:val="008661DA"/>
    <w:rsid w:val="008742AE"/>
    <w:rsid w:val="0088350B"/>
    <w:rsid w:val="00884EBA"/>
    <w:rsid w:val="008B37FB"/>
    <w:rsid w:val="008B5E8C"/>
    <w:rsid w:val="008C0325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258B6"/>
    <w:rsid w:val="00A44DF5"/>
    <w:rsid w:val="00A63D56"/>
    <w:rsid w:val="00A93CA0"/>
    <w:rsid w:val="00AA21EC"/>
    <w:rsid w:val="00AA42F6"/>
    <w:rsid w:val="00AA76D7"/>
    <w:rsid w:val="00AB286A"/>
    <w:rsid w:val="00AC4AB1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C040A0"/>
    <w:rsid w:val="00C0508D"/>
    <w:rsid w:val="00C34F5B"/>
    <w:rsid w:val="00C52667"/>
    <w:rsid w:val="00C65520"/>
    <w:rsid w:val="00CB1CE3"/>
    <w:rsid w:val="00CF3EA0"/>
    <w:rsid w:val="00D1051F"/>
    <w:rsid w:val="00D21DBE"/>
    <w:rsid w:val="00D24A4F"/>
    <w:rsid w:val="00D27F79"/>
    <w:rsid w:val="00D674D6"/>
    <w:rsid w:val="00D83014"/>
    <w:rsid w:val="00D9018D"/>
    <w:rsid w:val="00DA5742"/>
    <w:rsid w:val="00DE107F"/>
    <w:rsid w:val="00DF3229"/>
    <w:rsid w:val="00E02F34"/>
    <w:rsid w:val="00E0748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06AAB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B5162A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8C03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c4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2773</Words>
  <Characters>16361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Huryová Pavlína</cp:lastModifiedBy>
  <cp:revision>8</cp:revision>
  <cp:lastPrinted>2024-04-18T12:32:00Z</cp:lastPrinted>
  <dcterms:created xsi:type="dcterms:W3CDTF">2024-07-19T07:39:00Z</dcterms:created>
  <dcterms:modified xsi:type="dcterms:W3CDTF">2025-03-24T11:39:00Z</dcterms:modified>
</cp:coreProperties>
</file>